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3393" w14:textId="7FAEA375" w:rsidR="00DA240A" w:rsidRDefault="00DA240A" w:rsidP="00FD52C9">
      <w:pPr>
        <w:ind w:firstLine="1985"/>
        <w:jc w:val="both"/>
        <w:rPr>
          <w:b/>
          <w:sz w:val="32"/>
        </w:rPr>
      </w:pPr>
      <w:r>
        <w:rPr>
          <w:b/>
          <w:sz w:val="32"/>
        </w:rPr>
        <w:t>OPINIA NR</w:t>
      </w:r>
      <w:r w:rsidR="00B10F17">
        <w:rPr>
          <w:b/>
          <w:sz w:val="32"/>
        </w:rPr>
        <w:t xml:space="preserve"> 70/2020</w:t>
      </w:r>
    </w:p>
    <w:p w14:paraId="330B5F1A" w14:textId="77777777" w:rsidR="00DA240A" w:rsidRDefault="00DA240A" w:rsidP="00FD52C9">
      <w:pPr>
        <w:ind w:firstLine="1985"/>
        <w:jc w:val="both"/>
        <w:rPr>
          <w:b/>
          <w:sz w:val="32"/>
        </w:rPr>
      </w:pPr>
      <w:r>
        <w:rPr>
          <w:b/>
          <w:sz w:val="32"/>
        </w:rPr>
        <w:t>PREZYDENTA MIASTA KRAKOWA</w:t>
      </w:r>
    </w:p>
    <w:p w14:paraId="564C33F9" w14:textId="38A64D7B" w:rsidR="00DA240A" w:rsidRPr="00C826CF" w:rsidRDefault="00DA240A" w:rsidP="00FD52C9">
      <w:pPr>
        <w:ind w:firstLine="1985"/>
        <w:jc w:val="both"/>
        <w:rPr>
          <w:sz w:val="32"/>
          <w:szCs w:val="32"/>
        </w:rPr>
      </w:pPr>
      <w:r w:rsidRPr="00C826CF">
        <w:rPr>
          <w:b/>
          <w:sz w:val="32"/>
          <w:szCs w:val="32"/>
        </w:rPr>
        <w:t>Z DNIA</w:t>
      </w:r>
      <w:r w:rsidR="00B10F17">
        <w:rPr>
          <w:b/>
          <w:sz w:val="32"/>
          <w:szCs w:val="32"/>
        </w:rPr>
        <w:t xml:space="preserve"> 14 września 2020 r.</w:t>
      </w:r>
      <w:bookmarkStart w:id="0" w:name="_GoBack"/>
      <w:bookmarkEnd w:id="0"/>
    </w:p>
    <w:p w14:paraId="4472B4E5" w14:textId="77777777" w:rsidR="00DA240A" w:rsidRPr="00C826CF" w:rsidRDefault="00DA240A" w:rsidP="00FD52C9">
      <w:pPr>
        <w:jc w:val="both"/>
        <w:rPr>
          <w:sz w:val="24"/>
          <w:szCs w:val="24"/>
        </w:rPr>
      </w:pPr>
    </w:p>
    <w:p w14:paraId="7F927C12" w14:textId="7274E68A" w:rsidR="00DA240A" w:rsidRPr="00C826CF" w:rsidRDefault="00275EFF" w:rsidP="00FD52C9">
      <w:pPr>
        <w:pStyle w:val="gwkauchway"/>
        <w:spacing w:line="240" w:lineRule="auto"/>
        <w:jc w:val="both"/>
        <w:rPr>
          <w:b/>
          <w:szCs w:val="24"/>
        </w:rPr>
      </w:pPr>
      <w:bookmarkStart w:id="1" w:name="_Hlk516831870"/>
      <w:r w:rsidRPr="00C826CF">
        <w:rPr>
          <w:b/>
          <w:szCs w:val="24"/>
        </w:rPr>
        <w:t xml:space="preserve">w sprawie projektu </w:t>
      </w:r>
      <w:r w:rsidR="00C450C0" w:rsidRPr="00C826CF">
        <w:rPr>
          <w:b/>
          <w:szCs w:val="24"/>
        </w:rPr>
        <w:t>rezolucji</w:t>
      </w:r>
      <w:r w:rsidRPr="00C826CF">
        <w:rPr>
          <w:b/>
          <w:szCs w:val="24"/>
        </w:rPr>
        <w:t xml:space="preserve"> Rady Miasta Krakowa</w:t>
      </w:r>
      <w:r w:rsidR="00FF4CCC" w:rsidRPr="00C826CF">
        <w:rPr>
          <w:b/>
          <w:color w:val="000000"/>
          <w:szCs w:val="24"/>
        </w:rPr>
        <w:t xml:space="preserve"> </w:t>
      </w:r>
      <w:r w:rsidR="00554551">
        <w:rPr>
          <w:b/>
          <w:szCs w:val="24"/>
        </w:rPr>
        <w:t xml:space="preserve">o </w:t>
      </w:r>
      <w:r w:rsidR="00FF4CCC" w:rsidRPr="00C826CF">
        <w:rPr>
          <w:b/>
          <w:szCs w:val="24"/>
        </w:rPr>
        <w:t>ponowne rozpatrzen</w:t>
      </w:r>
      <w:r w:rsidR="004D355F">
        <w:rPr>
          <w:b/>
          <w:szCs w:val="24"/>
        </w:rPr>
        <w:t>i</w:t>
      </w:r>
      <w:r w:rsidR="00554551">
        <w:rPr>
          <w:b/>
          <w:szCs w:val="24"/>
        </w:rPr>
        <w:t>e</w:t>
      </w:r>
      <w:r w:rsidR="00FF4CCC" w:rsidRPr="00C826CF">
        <w:rPr>
          <w:b/>
          <w:szCs w:val="24"/>
        </w:rPr>
        <w:t xml:space="preserve"> zasadności sprzedaży działek </w:t>
      </w:r>
      <w:r w:rsidR="00CD04B9">
        <w:rPr>
          <w:b/>
          <w:szCs w:val="24"/>
        </w:rPr>
        <w:t>na tzw. Srebrnej Polanie w Mistrzejowicach</w:t>
      </w:r>
      <w:r w:rsidR="00FF4CCC" w:rsidRPr="00C826CF">
        <w:rPr>
          <w:b/>
          <w:szCs w:val="24"/>
        </w:rPr>
        <w:t xml:space="preserve"> -</w:t>
      </w:r>
      <w:r w:rsidR="008E1D89" w:rsidRPr="00C826CF">
        <w:rPr>
          <w:b/>
          <w:szCs w:val="24"/>
        </w:rPr>
        <w:t xml:space="preserve"> druk nr </w:t>
      </w:r>
      <w:r w:rsidR="00FF4CCC" w:rsidRPr="00C826CF">
        <w:rPr>
          <w:b/>
          <w:color w:val="000000"/>
          <w:szCs w:val="24"/>
        </w:rPr>
        <w:t>1406-R</w:t>
      </w:r>
      <w:r w:rsidR="00CD04B9">
        <w:rPr>
          <w:b/>
          <w:color w:val="000000"/>
          <w:szCs w:val="24"/>
        </w:rPr>
        <w:t>.</w:t>
      </w:r>
      <w:r w:rsidR="008E1D89" w:rsidRPr="00C826CF">
        <w:rPr>
          <w:b/>
          <w:szCs w:val="24"/>
        </w:rPr>
        <w:t xml:space="preserve"> </w:t>
      </w:r>
    </w:p>
    <w:bookmarkEnd w:id="1"/>
    <w:p w14:paraId="31AEB84C" w14:textId="3C012E0B" w:rsidR="00EE0BF1" w:rsidRPr="00C826CF" w:rsidRDefault="00EE0BF1" w:rsidP="00FD52C9">
      <w:pPr>
        <w:tabs>
          <w:tab w:val="left" w:pos="1227"/>
        </w:tabs>
        <w:ind w:firstLine="426"/>
        <w:jc w:val="both"/>
        <w:rPr>
          <w:sz w:val="24"/>
          <w:szCs w:val="24"/>
        </w:rPr>
      </w:pPr>
      <w:r w:rsidRPr="00C826CF">
        <w:rPr>
          <w:sz w:val="24"/>
          <w:szCs w:val="24"/>
        </w:rPr>
        <w:t xml:space="preserve">Na podstawie § 30 ust. 4 pkt 4 Statutu Miasta Krakowa stanowiącego załącznik do uchwały </w:t>
      </w:r>
      <w:r w:rsidR="00CD04B9">
        <w:rPr>
          <w:sz w:val="24"/>
          <w:szCs w:val="24"/>
        </w:rPr>
        <w:t>n</w:t>
      </w:r>
      <w:r w:rsidRPr="00C826CF">
        <w:rPr>
          <w:sz w:val="24"/>
          <w:szCs w:val="24"/>
        </w:rPr>
        <w:t>r XLVIII/435/96 Rady Miasta Krakowa z dnia 24 kwietnia 1996 r. w sprawie Statutu Miasta Krakowa (tekst jednolity: Dz. Ur</w:t>
      </w:r>
      <w:r w:rsidR="002667D4" w:rsidRPr="00C826CF">
        <w:rPr>
          <w:sz w:val="24"/>
          <w:szCs w:val="24"/>
        </w:rPr>
        <w:t>z. Woj. Małopolskiego z 2019 r.</w:t>
      </w:r>
      <w:r w:rsidRPr="00C826CF">
        <w:rPr>
          <w:sz w:val="24"/>
          <w:szCs w:val="24"/>
        </w:rPr>
        <w:t xml:space="preserve"> poz.</w:t>
      </w:r>
      <w:r w:rsidR="008E1D89" w:rsidRPr="00C826CF">
        <w:rPr>
          <w:sz w:val="24"/>
          <w:szCs w:val="24"/>
        </w:rPr>
        <w:t xml:space="preserve"> </w:t>
      </w:r>
      <w:r w:rsidRPr="00C826CF">
        <w:rPr>
          <w:sz w:val="24"/>
          <w:szCs w:val="24"/>
        </w:rPr>
        <w:t>7074</w:t>
      </w:r>
      <w:r w:rsidR="003C7BF9" w:rsidRPr="00C826CF">
        <w:rPr>
          <w:sz w:val="24"/>
          <w:szCs w:val="24"/>
        </w:rPr>
        <w:t>, z 2020 r.</w:t>
      </w:r>
      <w:r w:rsidR="002667D4" w:rsidRPr="00C826CF">
        <w:rPr>
          <w:sz w:val="24"/>
          <w:szCs w:val="24"/>
        </w:rPr>
        <w:t xml:space="preserve"> poz. 919</w:t>
      </w:r>
      <w:r w:rsidRPr="00C826CF">
        <w:rPr>
          <w:sz w:val="24"/>
          <w:szCs w:val="24"/>
        </w:rPr>
        <w:t>) postanawia się, co następuje:</w:t>
      </w:r>
    </w:p>
    <w:p w14:paraId="16E11BE5" w14:textId="77777777" w:rsidR="00DA240A" w:rsidRPr="00C826CF" w:rsidRDefault="00DA240A" w:rsidP="00FD52C9">
      <w:pPr>
        <w:tabs>
          <w:tab w:val="left" w:pos="1227"/>
        </w:tabs>
        <w:jc w:val="both"/>
        <w:rPr>
          <w:b/>
          <w:sz w:val="24"/>
          <w:szCs w:val="24"/>
        </w:rPr>
      </w:pPr>
      <w:r w:rsidRPr="00C826CF">
        <w:rPr>
          <w:b/>
          <w:sz w:val="24"/>
          <w:szCs w:val="24"/>
        </w:rPr>
        <w:tab/>
      </w:r>
    </w:p>
    <w:p w14:paraId="44D8DDC4" w14:textId="5EACEFC9" w:rsidR="00DA240A" w:rsidRPr="00CD04B9" w:rsidRDefault="00DA240A" w:rsidP="00FD52C9">
      <w:pPr>
        <w:pStyle w:val="Default"/>
        <w:jc w:val="both"/>
        <w:rPr>
          <w:b/>
        </w:rPr>
      </w:pPr>
      <w:r w:rsidRPr="00C826CF">
        <w:t xml:space="preserve">Opiniuje się </w:t>
      </w:r>
      <w:r w:rsidR="00FF4CCC" w:rsidRPr="00C826CF">
        <w:rPr>
          <w:b/>
          <w:bCs/>
          <w:color w:val="auto"/>
        </w:rPr>
        <w:t>negatywnie</w:t>
      </w:r>
      <w:r w:rsidR="00B8794D" w:rsidRPr="00C826CF">
        <w:rPr>
          <w:b/>
          <w:bCs/>
          <w:color w:val="auto"/>
        </w:rPr>
        <w:t xml:space="preserve"> </w:t>
      </w:r>
      <w:r w:rsidRPr="00C826CF">
        <w:rPr>
          <w:bCs/>
        </w:rPr>
        <w:t>projekt</w:t>
      </w:r>
      <w:r w:rsidRPr="00C826CF">
        <w:rPr>
          <w:b/>
          <w:bCs/>
        </w:rPr>
        <w:t xml:space="preserve"> </w:t>
      </w:r>
      <w:r w:rsidR="00932924" w:rsidRPr="00C826CF">
        <w:rPr>
          <w:color w:val="auto"/>
        </w:rPr>
        <w:t xml:space="preserve">rezolucji </w:t>
      </w:r>
      <w:r w:rsidRPr="00C826CF">
        <w:t xml:space="preserve">Rady Miasta Krakowa </w:t>
      </w:r>
      <w:r w:rsidR="00FF4CCC" w:rsidRPr="00C826CF">
        <w:t>w  sprawie ponownego rozpatrzenia zasadności sprzedaży</w:t>
      </w:r>
      <w:r w:rsidR="001D7EC5">
        <w:t xml:space="preserve"> działek</w:t>
      </w:r>
      <w:r w:rsidR="00FF4CCC" w:rsidRPr="00C826CF">
        <w:t xml:space="preserve"> </w:t>
      </w:r>
      <w:r w:rsidR="00CD04B9">
        <w:t>na tzw. Srebrnej Polanie w Mistrzejowicach</w:t>
      </w:r>
      <w:r w:rsidR="00FF4CCC" w:rsidRPr="00C826CF">
        <w:t xml:space="preserve"> - </w:t>
      </w:r>
      <w:r w:rsidR="00FF4CCC" w:rsidRPr="00CD04B9">
        <w:rPr>
          <w:b/>
        </w:rPr>
        <w:t>druk nr 1406-R</w:t>
      </w:r>
      <w:r w:rsidR="00CD04B9">
        <w:rPr>
          <w:b/>
        </w:rPr>
        <w:t>.</w:t>
      </w:r>
    </w:p>
    <w:p w14:paraId="4DBC8432" w14:textId="77777777" w:rsidR="00A73B5D" w:rsidRDefault="00A73B5D" w:rsidP="001D7EC5">
      <w:pPr>
        <w:rPr>
          <w:b/>
          <w:sz w:val="24"/>
          <w:szCs w:val="24"/>
        </w:rPr>
      </w:pPr>
    </w:p>
    <w:p w14:paraId="4EC07049" w14:textId="5F013E36" w:rsidR="00DA240A" w:rsidRPr="00C826CF" w:rsidRDefault="00DA240A" w:rsidP="00671A68">
      <w:pPr>
        <w:ind w:left="709" w:hanging="141"/>
        <w:jc w:val="center"/>
        <w:rPr>
          <w:b/>
          <w:sz w:val="24"/>
          <w:szCs w:val="24"/>
        </w:rPr>
      </w:pPr>
      <w:r w:rsidRPr="00C826CF">
        <w:rPr>
          <w:b/>
          <w:sz w:val="24"/>
          <w:szCs w:val="24"/>
        </w:rPr>
        <w:t>UZASADNIENIE</w:t>
      </w:r>
    </w:p>
    <w:p w14:paraId="270D0A27" w14:textId="1504A4BB" w:rsidR="00A73B5D" w:rsidRDefault="0087503F" w:rsidP="001D7EC5">
      <w:pPr>
        <w:autoSpaceDE w:val="0"/>
        <w:autoSpaceDN w:val="0"/>
        <w:jc w:val="both"/>
        <w:rPr>
          <w:sz w:val="24"/>
          <w:szCs w:val="24"/>
        </w:rPr>
      </w:pPr>
      <w:r w:rsidRPr="00C826CF">
        <w:rPr>
          <w:sz w:val="24"/>
          <w:szCs w:val="24"/>
        </w:rPr>
        <w:t xml:space="preserve">          </w:t>
      </w:r>
    </w:p>
    <w:p w14:paraId="0AA2F2BB" w14:textId="77777777" w:rsidR="001D7EC5" w:rsidRDefault="004D355F" w:rsidP="001D7EC5">
      <w:pPr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Negatywna opinia </w:t>
      </w:r>
      <w:r w:rsidR="00030E2A" w:rsidRPr="00C826CF">
        <w:rPr>
          <w:sz w:val="24"/>
          <w:szCs w:val="24"/>
        </w:rPr>
        <w:t xml:space="preserve">do </w:t>
      </w:r>
      <w:r w:rsidR="00FF4CCC" w:rsidRPr="00C826CF">
        <w:rPr>
          <w:sz w:val="24"/>
          <w:szCs w:val="24"/>
        </w:rPr>
        <w:t xml:space="preserve">projektu ww. rezolucji </w:t>
      </w:r>
      <w:r>
        <w:rPr>
          <w:sz w:val="24"/>
          <w:szCs w:val="24"/>
        </w:rPr>
        <w:t>wynika z poniższych okoliczności faktycznych i prawnych.</w:t>
      </w:r>
    </w:p>
    <w:p w14:paraId="514CEC1D" w14:textId="1FBBFFD8" w:rsidR="001D7EC5" w:rsidRDefault="00FF4CCC" w:rsidP="001D7EC5">
      <w:pPr>
        <w:ind w:firstLine="568"/>
        <w:jc w:val="both"/>
        <w:rPr>
          <w:sz w:val="24"/>
          <w:szCs w:val="24"/>
        </w:rPr>
      </w:pPr>
      <w:r w:rsidRPr="00FD52C9">
        <w:rPr>
          <w:sz w:val="24"/>
          <w:szCs w:val="24"/>
        </w:rPr>
        <w:t xml:space="preserve">Przedmiotowe nieruchomości objęte są obowiązującym miejscowym planem zagospodarowania przestrzennego obszaru </w:t>
      </w:r>
      <w:r w:rsidRPr="003E4C8F">
        <w:rPr>
          <w:sz w:val="24"/>
          <w:szCs w:val="24"/>
        </w:rPr>
        <w:t>,,Mistrzejowice</w:t>
      </w:r>
      <w:r w:rsidR="00CD04B9" w:rsidRPr="003E4C8F">
        <w:rPr>
          <w:sz w:val="24"/>
          <w:szCs w:val="24"/>
        </w:rPr>
        <w:t> - </w:t>
      </w:r>
      <w:r w:rsidRPr="003E4C8F">
        <w:rPr>
          <w:sz w:val="24"/>
          <w:szCs w:val="24"/>
        </w:rPr>
        <w:t>ks.</w:t>
      </w:r>
      <w:r w:rsidR="001D7EC5" w:rsidRPr="003E4C8F">
        <w:rPr>
          <w:sz w:val="24"/>
          <w:szCs w:val="24"/>
        </w:rPr>
        <w:t> </w:t>
      </w:r>
      <w:r w:rsidRPr="003E4C8F">
        <w:rPr>
          <w:sz w:val="24"/>
          <w:szCs w:val="24"/>
        </w:rPr>
        <w:t>Kazimierza</w:t>
      </w:r>
      <w:r w:rsidR="001D7EC5" w:rsidRPr="003E4C8F">
        <w:rPr>
          <w:sz w:val="24"/>
          <w:szCs w:val="24"/>
        </w:rPr>
        <w:t> </w:t>
      </w:r>
      <w:proofErr w:type="spellStart"/>
      <w:r w:rsidRPr="003E4C8F">
        <w:rPr>
          <w:sz w:val="24"/>
          <w:szCs w:val="24"/>
        </w:rPr>
        <w:t>Jancarza</w:t>
      </w:r>
      <w:proofErr w:type="spellEnd"/>
      <w:r w:rsidRPr="003E4C8F">
        <w:rPr>
          <w:sz w:val="24"/>
          <w:szCs w:val="24"/>
        </w:rPr>
        <w:t>”,</w:t>
      </w:r>
      <w:r w:rsidRPr="00FD52C9">
        <w:rPr>
          <w:sz w:val="24"/>
          <w:szCs w:val="24"/>
        </w:rPr>
        <w:t xml:space="preserve"> </w:t>
      </w:r>
      <w:r w:rsidR="003E4C8F">
        <w:rPr>
          <w:sz w:val="24"/>
          <w:szCs w:val="24"/>
        </w:rPr>
        <w:t>przyjętym</w:t>
      </w:r>
      <w:r w:rsidRPr="00FD52C9">
        <w:rPr>
          <w:sz w:val="24"/>
          <w:szCs w:val="24"/>
        </w:rPr>
        <w:t xml:space="preserve"> uchwałą Rady Miasta Krakowa </w:t>
      </w:r>
      <w:r w:rsidR="00CD04B9">
        <w:rPr>
          <w:sz w:val="24"/>
          <w:szCs w:val="24"/>
        </w:rPr>
        <w:t>n</w:t>
      </w:r>
      <w:r w:rsidRPr="00FD52C9">
        <w:rPr>
          <w:sz w:val="24"/>
          <w:szCs w:val="24"/>
        </w:rPr>
        <w:t xml:space="preserve">r LXXXVII/2131/17 z dnia 25 października </w:t>
      </w:r>
      <w:r w:rsidR="003E4C8F">
        <w:rPr>
          <w:sz w:val="24"/>
          <w:szCs w:val="24"/>
        </w:rPr>
        <w:br/>
      </w:r>
      <w:r w:rsidRPr="00FD52C9">
        <w:rPr>
          <w:sz w:val="24"/>
          <w:szCs w:val="24"/>
        </w:rPr>
        <w:t>2017 r. Zgodnie z ustaleniami planu, działki te znajdują się w terenie zabudowy mieszkaniowej jednorodzinnej, oznaczonym symbolem MN.16 o podstawowym przeznaczeniu pod zabudowę jednorodzinną. Ustalenia w</w:t>
      </w:r>
      <w:r w:rsidR="00CD04B9">
        <w:rPr>
          <w:sz w:val="24"/>
          <w:szCs w:val="24"/>
        </w:rPr>
        <w:t>w.</w:t>
      </w:r>
      <w:r w:rsidRPr="00FD52C9">
        <w:rPr>
          <w:sz w:val="24"/>
          <w:szCs w:val="24"/>
        </w:rPr>
        <w:t xml:space="preserve"> planu są opublikowane w Biuletynie Informacji Publicznej Miasta Krakowa:</w:t>
      </w:r>
      <w:r w:rsidR="00A73B5D" w:rsidRPr="00A73B5D">
        <w:t xml:space="preserve"> </w:t>
      </w:r>
      <w:hyperlink r:id="rId6" w:history="1">
        <w:r w:rsidR="00A73B5D" w:rsidRPr="0006053E">
          <w:rPr>
            <w:rStyle w:val="Hipercze"/>
            <w:sz w:val="24"/>
            <w:szCs w:val="24"/>
          </w:rPr>
          <w:t>https://www.bip.krakow.pl/?dok_id=92656</w:t>
        </w:r>
      </w:hyperlink>
      <w:r w:rsidR="00A73B5D">
        <w:rPr>
          <w:rStyle w:val="Hipercze"/>
          <w:sz w:val="24"/>
          <w:szCs w:val="24"/>
        </w:rPr>
        <w:t>.</w:t>
      </w:r>
    </w:p>
    <w:p w14:paraId="5D85392E" w14:textId="0B3232C3" w:rsidR="001D7EC5" w:rsidRDefault="00FF4CCC" w:rsidP="001D7EC5">
      <w:pPr>
        <w:ind w:firstLine="568"/>
        <w:jc w:val="both"/>
        <w:rPr>
          <w:sz w:val="24"/>
          <w:szCs w:val="24"/>
        </w:rPr>
      </w:pPr>
      <w:r w:rsidRPr="00FD52C9">
        <w:rPr>
          <w:sz w:val="24"/>
          <w:szCs w:val="24"/>
        </w:rPr>
        <w:t xml:space="preserve">Dla terenu MN.16, w § 17 ust. 2 pkt 9 lit. a-g </w:t>
      </w:r>
      <w:r w:rsidR="003E4C8F">
        <w:rPr>
          <w:sz w:val="24"/>
          <w:szCs w:val="24"/>
        </w:rPr>
        <w:t xml:space="preserve">ww. </w:t>
      </w:r>
      <w:r w:rsidRPr="00FD52C9">
        <w:rPr>
          <w:sz w:val="24"/>
          <w:szCs w:val="24"/>
        </w:rPr>
        <w:t>uchwały zostały ustalone następujące wskaźniki w zakresie kształtowania zabudowy i zagospodarowania terenu: ,,(...) a) minimalny wskaźnik terenu biologicznie czynnego: 70%, b) maksymalny wskaźnik powierzchni zabudowy: 25%, c) wskaźnik intensywności zabudowy: 0,3 - 1,2, d) maksymalną wysokość zabudowy: 11 m, e) nakaz kształtowania dachu jako dwuspadowy lub wielospadowy, f) maksymalną wysokość budynków gospodarczych i garaży: 3,5 m, g) dopuszcza się lokalizację altan ogrodowych o wysokości do 4,5m” - oraz wytyczne wynikające z części ogólnej ustaleń planu.</w:t>
      </w:r>
    </w:p>
    <w:p w14:paraId="36BA36CA" w14:textId="3048377B" w:rsidR="00A73B5D" w:rsidRDefault="00FF4CCC" w:rsidP="001D7EC5">
      <w:pPr>
        <w:ind w:firstLine="568"/>
        <w:jc w:val="both"/>
        <w:rPr>
          <w:sz w:val="24"/>
          <w:szCs w:val="24"/>
        </w:rPr>
      </w:pPr>
      <w:r w:rsidRPr="00FD52C9">
        <w:rPr>
          <w:sz w:val="24"/>
          <w:szCs w:val="24"/>
        </w:rPr>
        <w:t xml:space="preserve">Obowiązujący plan miejscowy został sporządzony zgodnie z wytycznymi </w:t>
      </w:r>
      <w:r w:rsidRPr="003E4C8F">
        <w:rPr>
          <w:i/>
          <w:sz w:val="24"/>
          <w:szCs w:val="24"/>
        </w:rPr>
        <w:t xml:space="preserve">Studium </w:t>
      </w:r>
      <w:r w:rsidRPr="00054B9B">
        <w:rPr>
          <w:i/>
          <w:sz w:val="24"/>
          <w:szCs w:val="24"/>
        </w:rPr>
        <w:t>uwarunkowań i</w:t>
      </w:r>
      <w:r w:rsidR="004D355F" w:rsidRPr="00054B9B">
        <w:rPr>
          <w:i/>
          <w:sz w:val="24"/>
          <w:szCs w:val="24"/>
        </w:rPr>
        <w:t xml:space="preserve"> </w:t>
      </w:r>
      <w:r w:rsidRPr="00054B9B">
        <w:rPr>
          <w:i/>
          <w:sz w:val="24"/>
          <w:szCs w:val="24"/>
        </w:rPr>
        <w:t>kierunków</w:t>
      </w:r>
      <w:r w:rsidR="004D355F" w:rsidRPr="00054B9B">
        <w:rPr>
          <w:i/>
          <w:sz w:val="24"/>
          <w:szCs w:val="24"/>
        </w:rPr>
        <w:t xml:space="preserve"> </w:t>
      </w:r>
      <w:r w:rsidRPr="00054B9B">
        <w:rPr>
          <w:i/>
          <w:sz w:val="24"/>
          <w:szCs w:val="24"/>
        </w:rPr>
        <w:t>zagospodarowania</w:t>
      </w:r>
      <w:r w:rsidR="004D355F" w:rsidRPr="00054B9B">
        <w:rPr>
          <w:i/>
          <w:sz w:val="24"/>
          <w:szCs w:val="24"/>
        </w:rPr>
        <w:t xml:space="preserve"> </w:t>
      </w:r>
      <w:r w:rsidRPr="00054B9B">
        <w:rPr>
          <w:i/>
          <w:sz w:val="24"/>
          <w:szCs w:val="24"/>
        </w:rPr>
        <w:t>przestrzennego</w:t>
      </w:r>
      <w:r w:rsidR="004D355F" w:rsidRPr="00054B9B">
        <w:rPr>
          <w:i/>
          <w:sz w:val="24"/>
          <w:szCs w:val="24"/>
        </w:rPr>
        <w:t xml:space="preserve"> </w:t>
      </w:r>
      <w:r w:rsidRPr="00054B9B">
        <w:rPr>
          <w:i/>
          <w:sz w:val="24"/>
          <w:szCs w:val="24"/>
        </w:rPr>
        <w:t>Miasta</w:t>
      </w:r>
      <w:r w:rsidR="004D355F" w:rsidRPr="00054B9B">
        <w:rPr>
          <w:i/>
          <w:sz w:val="24"/>
          <w:szCs w:val="24"/>
        </w:rPr>
        <w:t xml:space="preserve"> </w:t>
      </w:r>
      <w:r w:rsidRPr="00054B9B">
        <w:rPr>
          <w:i/>
          <w:sz w:val="24"/>
          <w:szCs w:val="24"/>
        </w:rPr>
        <w:t>Krakowa</w:t>
      </w:r>
      <w:r w:rsidRPr="00FD52C9">
        <w:rPr>
          <w:sz w:val="24"/>
          <w:szCs w:val="24"/>
        </w:rPr>
        <w:t xml:space="preserve">     (zaktualizowanym uchwałą </w:t>
      </w:r>
      <w:r w:rsidR="00CD04B9">
        <w:rPr>
          <w:sz w:val="24"/>
          <w:szCs w:val="24"/>
        </w:rPr>
        <w:t>n</w:t>
      </w:r>
      <w:r w:rsidRPr="00FD52C9">
        <w:rPr>
          <w:sz w:val="24"/>
          <w:szCs w:val="24"/>
        </w:rPr>
        <w:t xml:space="preserve">r CXII/1700/14 Rady Miasta Krakowa z dnia 9 lipca 2014 r.), na podstawie których dla terenu obejmującego działki nr 1/277 i 1/281 obręb 5 Nowa Huta został ustalony kierunek zagospodarowania pod Tereny zabudowy mieszkaniowej jednorodzinnej.  Zgodnie z art. 9 ust. 4 ustawy z dnia 27 marca 2003 r. </w:t>
      </w:r>
      <w:r w:rsidRPr="00EB4137">
        <w:rPr>
          <w:i/>
          <w:sz w:val="24"/>
          <w:szCs w:val="24"/>
        </w:rPr>
        <w:t>o planowaniu i</w:t>
      </w:r>
      <w:r w:rsidR="004D355F" w:rsidRPr="00EB4137">
        <w:rPr>
          <w:i/>
          <w:sz w:val="24"/>
          <w:szCs w:val="24"/>
        </w:rPr>
        <w:t> </w:t>
      </w:r>
      <w:r w:rsidRPr="00EB4137">
        <w:rPr>
          <w:i/>
          <w:sz w:val="24"/>
          <w:szCs w:val="24"/>
        </w:rPr>
        <w:t>zagospodarowaniu przestrzennym</w:t>
      </w:r>
      <w:r w:rsidRPr="00FD52C9">
        <w:rPr>
          <w:sz w:val="24"/>
          <w:szCs w:val="24"/>
        </w:rPr>
        <w:t xml:space="preserve"> (t</w:t>
      </w:r>
      <w:r w:rsidR="00CD04B9">
        <w:rPr>
          <w:sz w:val="24"/>
          <w:szCs w:val="24"/>
        </w:rPr>
        <w:t>ekst jednolity</w:t>
      </w:r>
      <w:r w:rsidRPr="00FD52C9">
        <w:rPr>
          <w:sz w:val="24"/>
          <w:szCs w:val="24"/>
        </w:rPr>
        <w:t xml:space="preserve"> Dz.U. z 2020 r.</w:t>
      </w:r>
      <w:r w:rsidR="00CD04B9">
        <w:rPr>
          <w:sz w:val="24"/>
          <w:szCs w:val="24"/>
        </w:rPr>
        <w:t>,</w:t>
      </w:r>
      <w:r w:rsidRPr="00FD52C9">
        <w:rPr>
          <w:sz w:val="24"/>
          <w:szCs w:val="24"/>
        </w:rPr>
        <w:t xml:space="preserve"> poz. 293 ze zm.), ustalenia </w:t>
      </w:r>
      <w:r w:rsidR="00CD04B9" w:rsidRPr="00054B9B">
        <w:rPr>
          <w:i/>
          <w:sz w:val="24"/>
          <w:szCs w:val="24"/>
        </w:rPr>
        <w:t>S</w:t>
      </w:r>
      <w:r w:rsidRPr="00054B9B">
        <w:rPr>
          <w:i/>
          <w:sz w:val="24"/>
          <w:szCs w:val="24"/>
        </w:rPr>
        <w:t>tudium</w:t>
      </w:r>
      <w:r w:rsidRPr="00FD52C9">
        <w:rPr>
          <w:sz w:val="24"/>
          <w:szCs w:val="24"/>
        </w:rPr>
        <w:t xml:space="preserve"> są wiążące dla organów gminy przy sporządzaniu planów miejscowych, a zatem należy stwierdzić, że ustalona w planie miejscowym kategoria przeznaczenia terenu dla obszaru obejmującego działki nr 1/277 i 1/281  obręb  5  Nowa  Huta  jest  zgodna  z  wytycznymi  </w:t>
      </w:r>
      <w:r w:rsidRPr="00054B9B">
        <w:rPr>
          <w:i/>
          <w:sz w:val="24"/>
          <w:szCs w:val="24"/>
        </w:rPr>
        <w:t>Studium.</w:t>
      </w:r>
      <w:r w:rsidRPr="00FD52C9">
        <w:rPr>
          <w:sz w:val="24"/>
          <w:szCs w:val="24"/>
        </w:rPr>
        <w:t xml:space="preserve">  </w:t>
      </w:r>
      <w:r w:rsidR="00CD04B9">
        <w:rPr>
          <w:sz w:val="24"/>
          <w:szCs w:val="24"/>
        </w:rPr>
        <w:br/>
      </w:r>
      <w:r w:rsidRPr="00FD52C9">
        <w:rPr>
          <w:sz w:val="24"/>
          <w:szCs w:val="24"/>
        </w:rPr>
        <w:t>W  związku  z   tym,  w 2020 r. nie planowano przystąpić do sporządzenia zmiany ustaleń planistycznych dla terenu ww.</w:t>
      </w:r>
      <w:r w:rsidR="004D355F">
        <w:rPr>
          <w:sz w:val="24"/>
          <w:szCs w:val="24"/>
        </w:rPr>
        <w:t> </w:t>
      </w:r>
      <w:r w:rsidRPr="00FD52C9">
        <w:rPr>
          <w:sz w:val="24"/>
          <w:szCs w:val="24"/>
        </w:rPr>
        <w:t xml:space="preserve">nieruchomości. Nawiązując do kwestii ewentualnych skutków sprzedaży i zabudowy przedmiotowych nieruchomości należy stwierdzić, że zagospodarowanie planowanych </w:t>
      </w:r>
      <w:r w:rsidRPr="00CD04B9">
        <w:rPr>
          <w:sz w:val="24"/>
          <w:szCs w:val="24"/>
        </w:rPr>
        <w:t>do sprzedaży nieruchomości</w:t>
      </w:r>
      <w:r w:rsidR="00CD04B9">
        <w:rPr>
          <w:sz w:val="24"/>
          <w:szCs w:val="24"/>
        </w:rPr>
        <w:t>,</w:t>
      </w:r>
      <w:r w:rsidRPr="00CD04B9">
        <w:rPr>
          <w:sz w:val="24"/>
          <w:szCs w:val="24"/>
        </w:rPr>
        <w:t xml:space="preserve"> w sposób określony w planie miejscowym</w:t>
      </w:r>
      <w:r w:rsidR="00CD04B9">
        <w:rPr>
          <w:sz w:val="24"/>
          <w:szCs w:val="24"/>
        </w:rPr>
        <w:t>,</w:t>
      </w:r>
      <w:r w:rsidRPr="00CD04B9">
        <w:rPr>
          <w:sz w:val="24"/>
          <w:szCs w:val="24"/>
        </w:rPr>
        <w:t xml:space="preserve"> w żaden sposób nie wpłynie na zabudowanie wejścia do parku.</w:t>
      </w:r>
      <w:r w:rsidRPr="00FD52C9">
        <w:rPr>
          <w:sz w:val="24"/>
          <w:szCs w:val="24"/>
        </w:rPr>
        <w:t xml:space="preserve"> </w:t>
      </w:r>
    </w:p>
    <w:p w14:paraId="198B9970" w14:textId="332BE9EF" w:rsidR="00FF4CCC" w:rsidRPr="00FD52C9" w:rsidRDefault="00FF4CCC" w:rsidP="004D355F">
      <w:pPr>
        <w:spacing w:before="240"/>
        <w:ind w:firstLine="709"/>
        <w:jc w:val="both"/>
        <w:rPr>
          <w:sz w:val="24"/>
          <w:szCs w:val="24"/>
        </w:rPr>
      </w:pPr>
      <w:r w:rsidRPr="00FD52C9">
        <w:rPr>
          <w:sz w:val="24"/>
          <w:szCs w:val="24"/>
        </w:rPr>
        <w:lastRenderedPageBreak/>
        <w:t>Zarówno bowiem faktycznie istniejące, jak i</w:t>
      </w:r>
      <w:r w:rsidR="00A73B5D">
        <w:rPr>
          <w:sz w:val="24"/>
          <w:szCs w:val="24"/>
        </w:rPr>
        <w:t> </w:t>
      </w:r>
      <w:r w:rsidRPr="00FD52C9">
        <w:rPr>
          <w:sz w:val="24"/>
          <w:szCs w:val="24"/>
        </w:rPr>
        <w:t>określone w tym samym miejscu w planie miejscowym za pośrednictwem wyznaczonych ciągów pieszych wejścia do parku wzdłuż Sudołu Dominikańskiego, znajdują się:</w:t>
      </w:r>
    </w:p>
    <w:p w14:paraId="7DC22B2B" w14:textId="738EFA4A" w:rsidR="00FF4CCC" w:rsidRPr="00CD04B9" w:rsidRDefault="00FF4CCC" w:rsidP="00CD04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04B9">
        <w:rPr>
          <w:rFonts w:ascii="Times New Roman" w:hAnsi="Times New Roman" w:cs="Times New Roman"/>
          <w:sz w:val="24"/>
          <w:szCs w:val="24"/>
        </w:rPr>
        <w:t>na zachód od planowanych do sprzedaży działek, w odległości ok. 50 m, na przedłużeniu ul. Zjazdu Gnieźnieńskiego,</w:t>
      </w:r>
    </w:p>
    <w:p w14:paraId="3A685543" w14:textId="0A865016" w:rsidR="00FF4CCC" w:rsidRPr="00CD04B9" w:rsidRDefault="00FF4CCC" w:rsidP="00CD04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04B9">
        <w:rPr>
          <w:rFonts w:ascii="Times New Roman" w:hAnsi="Times New Roman" w:cs="Times New Roman"/>
          <w:sz w:val="24"/>
          <w:szCs w:val="24"/>
        </w:rPr>
        <w:t>na północ od planowanych do sprzedaży działek, w odległości ok. 150 m w linii prostej, na przedłużeniu ul. Na Zboczu/Parnickiego.</w:t>
      </w:r>
    </w:p>
    <w:p w14:paraId="7980651F" w14:textId="7E572FCA" w:rsidR="001D7EC5" w:rsidRDefault="00FF4CCC" w:rsidP="001D7EC5">
      <w:pPr>
        <w:ind w:firstLine="708"/>
        <w:jc w:val="both"/>
        <w:rPr>
          <w:sz w:val="24"/>
          <w:szCs w:val="24"/>
        </w:rPr>
      </w:pPr>
      <w:r w:rsidRPr="00FD52C9">
        <w:rPr>
          <w:sz w:val="24"/>
          <w:szCs w:val="24"/>
        </w:rPr>
        <w:t xml:space="preserve">Odnosząc się do aktualnego statusu przedmiotowych nieruchomości należy zauważyć, </w:t>
      </w:r>
      <w:r w:rsidR="003E4C8F">
        <w:rPr>
          <w:sz w:val="24"/>
          <w:szCs w:val="24"/>
        </w:rPr>
        <w:t>że</w:t>
      </w:r>
      <w:r w:rsidRPr="00FD52C9">
        <w:rPr>
          <w:sz w:val="24"/>
          <w:szCs w:val="24"/>
        </w:rPr>
        <w:t xml:space="preserve">  działki nr 1/277 i 1/</w:t>
      </w:r>
      <w:r w:rsidRPr="00CD04B9">
        <w:rPr>
          <w:sz w:val="24"/>
          <w:szCs w:val="24"/>
        </w:rPr>
        <w:t>281</w:t>
      </w:r>
      <w:r w:rsidRPr="00CD04B9">
        <w:rPr>
          <w:bCs/>
          <w:sz w:val="24"/>
          <w:szCs w:val="24"/>
        </w:rPr>
        <w:t xml:space="preserve"> nie zostały włączone do systemu terenów zieleni publicznej wskazanego </w:t>
      </w:r>
      <w:r w:rsidRPr="00CD04B9">
        <w:rPr>
          <w:sz w:val="24"/>
          <w:szCs w:val="24"/>
        </w:rPr>
        <w:t xml:space="preserve">w dokumencie </w:t>
      </w:r>
      <w:r w:rsidRPr="003E4C8F">
        <w:rPr>
          <w:sz w:val="24"/>
          <w:szCs w:val="24"/>
        </w:rPr>
        <w:t>„Kierunk</w:t>
      </w:r>
      <w:r w:rsidR="00CD04B9" w:rsidRPr="003E4C8F">
        <w:rPr>
          <w:sz w:val="24"/>
          <w:szCs w:val="24"/>
        </w:rPr>
        <w:t>i</w:t>
      </w:r>
      <w:r w:rsidRPr="003E4C8F">
        <w:rPr>
          <w:sz w:val="24"/>
          <w:szCs w:val="24"/>
        </w:rPr>
        <w:t xml:space="preserve"> rozwoju i zarządzania terenami zieleni w Krakowie na lata 2019-2030”,</w:t>
      </w:r>
      <w:r w:rsidRPr="00CD04B9">
        <w:rPr>
          <w:sz w:val="24"/>
          <w:szCs w:val="24"/>
        </w:rPr>
        <w:t xml:space="preserve"> </w:t>
      </w:r>
      <w:r w:rsidRPr="00FD52C9">
        <w:rPr>
          <w:sz w:val="24"/>
          <w:szCs w:val="24"/>
        </w:rPr>
        <w:t xml:space="preserve">przyjętym </w:t>
      </w:r>
      <w:r w:rsidR="00CD04B9">
        <w:rPr>
          <w:sz w:val="24"/>
          <w:szCs w:val="24"/>
        </w:rPr>
        <w:t>z</w:t>
      </w:r>
      <w:r w:rsidRPr="00FD52C9">
        <w:rPr>
          <w:sz w:val="24"/>
          <w:szCs w:val="24"/>
        </w:rPr>
        <w:t xml:space="preserve">arządzeniem </w:t>
      </w:r>
      <w:r w:rsidR="00F53AF9">
        <w:rPr>
          <w:sz w:val="24"/>
          <w:szCs w:val="24"/>
        </w:rPr>
        <w:t>n</w:t>
      </w:r>
      <w:r w:rsidR="00F53AF9" w:rsidRPr="00FD52C9">
        <w:rPr>
          <w:sz w:val="24"/>
          <w:szCs w:val="24"/>
        </w:rPr>
        <w:t xml:space="preserve">r 2282/2019 </w:t>
      </w:r>
      <w:r w:rsidR="003E4C8F">
        <w:rPr>
          <w:sz w:val="24"/>
          <w:szCs w:val="24"/>
        </w:rPr>
        <w:t xml:space="preserve">Prezydenta Miasta Krakowa </w:t>
      </w:r>
      <w:r w:rsidRPr="00FD52C9">
        <w:rPr>
          <w:sz w:val="24"/>
          <w:szCs w:val="24"/>
        </w:rPr>
        <w:t xml:space="preserve">z dnia </w:t>
      </w:r>
      <w:r w:rsidR="003E4C8F">
        <w:rPr>
          <w:sz w:val="24"/>
          <w:szCs w:val="24"/>
        </w:rPr>
        <w:br/>
      </w:r>
      <w:r w:rsidRPr="00FD52C9">
        <w:rPr>
          <w:sz w:val="24"/>
          <w:szCs w:val="24"/>
        </w:rPr>
        <w:t>9 września 2019 r.  Zgodnie ze wskazaniami ww</w:t>
      </w:r>
      <w:r w:rsidR="001D7EC5">
        <w:rPr>
          <w:sz w:val="24"/>
          <w:szCs w:val="24"/>
        </w:rPr>
        <w:t>.</w:t>
      </w:r>
      <w:r w:rsidRPr="00FD52C9">
        <w:rPr>
          <w:sz w:val="24"/>
          <w:szCs w:val="24"/>
        </w:rPr>
        <w:t xml:space="preserve"> dokumentu działki te znajdują się w bezpośrednim sąsiedztwie terenu przeznaczonego pod Park Rzeczy</w:t>
      </w:r>
      <w:r w:rsidR="001D7EC5">
        <w:rPr>
          <w:sz w:val="24"/>
          <w:szCs w:val="24"/>
        </w:rPr>
        <w:t> - </w:t>
      </w:r>
      <w:r w:rsidRPr="00FD52C9">
        <w:rPr>
          <w:sz w:val="24"/>
          <w:szCs w:val="24"/>
        </w:rPr>
        <w:t xml:space="preserve">Sudół Dominikański, stanowiącego element szerszego systemu terenów zieleni występującego w tym obszarze miasta i chronionego zapisami planów miejscowych. </w:t>
      </w:r>
      <w:r w:rsidRPr="00FD52C9">
        <w:rPr>
          <w:color w:val="000000"/>
          <w:sz w:val="24"/>
          <w:szCs w:val="24"/>
          <w:lang w:bidi="pl-PL"/>
        </w:rPr>
        <w:t>Podkreślić należy</w:t>
      </w:r>
      <w:r w:rsidRPr="00FD52C9">
        <w:rPr>
          <w:sz w:val="24"/>
          <w:szCs w:val="24"/>
        </w:rPr>
        <w:t xml:space="preserve">, </w:t>
      </w:r>
      <w:r w:rsidR="00F53AF9">
        <w:rPr>
          <w:sz w:val="24"/>
          <w:szCs w:val="24"/>
        </w:rPr>
        <w:t>że</w:t>
      </w:r>
      <w:r w:rsidRPr="00FD52C9">
        <w:rPr>
          <w:sz w:val="24"/>
          <w:szCs w:val="24"/>
        </w:rPr>
        <w:t xml:space="preserve"> na obszarze tym nie występuje deficyt terenów zieleni. Od północy i zachodu nieruchomości przylegają do terenów, które w miejscowych planach zagospodarowania przestrzennego </w:t>
      </w:r>
      <w:r w:rsidR="00F53AF9">
        <w:rPr>
          <w:sz w:val="24"/>
          <w:szCs w:val="24"/>
        </w:rPr>
        <w:t xml:space="preserve">obszarów </w:t>
      </w:r>
      <w:r w:rsidRPr="003E4C8F">
        <w:rPr>
          <w:sz w:val="24"/>
          <w:szCs w:val="24"/>
        </w:rPr>
        <w:t>„Sudół Dominikański”</w:t>
      </w:r>
      <w:r w:rsidRPr="00FD52C9">
        <w:rPr>
          <w:sz w:val="24"/>
          <w:szCs w:val="24"/>
        </w:rPr>
        <w:t xml:space="preserve"> i </w:t>
      </w:r>
      <w:r w:rsidRPr="003E4C8F">
        <w:rPr>
          <w:sz w:val="24"/>
          <w:szCs w:val="24"/>
        </w:rPr>
        <w:t>„Mistrzejowice</w:t>
      </w:r>
      <w:r w:rsidR="00F53AF9">
        <w:rPr>
          <w:sz w:val="24"/>
          <w:szCs w:val="24"/>
        </w:rPr>
        <w:t> </w:t>
      </w:r>
      <w:r w:rsidRPr="003E4C8F">
        <w:rPr>
          <w:sz w:val="24"/>
          <w:szCs w:val="24"/>
        </w:rPr>
        <w:t>–</w:t>
      </w:r>
      <w:r w:rsidR="00F53AF9">
        <w:rPr>
          <w:sz w:val="24"/>
          <w:szCs w:val="24"/>
        </w:rPr>
        <w:t> </w:t>
      </w:r>
      <w:r w:rsidRPr="003E4C8F">
        <w:rPr>
          <w:sz w:val="24"/>
          <w:szCs w:val="24"/>
        </w:rPr>
        <w:t xml:space="preserve">Ks. </w:t>
      </w:r>
      <w:r w:rsidR="001D7EC5" w:rsidRPr="003E4C8F">
        <w:rPr>
          <w:sz w:val="24"/>
          <w:szCs w:val="24"/>
        </w:rPr>
        <w:t xml:space="preserve">Kazimierza </w:t>
      </w:r>
      <w:proofErr w:type="spellStart"/>
      <w:r w:rsidRPr="003E4C8F">
        <w:rPr>
          <w:sz w:val="24"/>
          <w:szCs w:val="24"/>
        </w:rPr>
        <w:t>Jancarza</w:t>
      </w:r>
      <w:proofErr w:type="spellEnd"/>
      <w:r w:rsidRPr="003E4C8F">
        <w:rPr>
          <w:sz w:val="24"/>
          <w:szCs w:val="24"/>
        </w:rPr>
        <w:t>”</w:t>
      </w:r>
      <w:r w:rsidRPr="00FD52C9">
        <w:rPr>
          <w:sz w:val="24"/>
          <w:szCs w:val="24"/>
        </w:rPr>
        <w:t xml:space="preserve"> wyznaczone zostały jako ogólnodostępne tereny zieleni  urządzonej  i fortecznej. W bliskim sąsiedztwie nieruchomości zlokalizowany jest Park Reduta, zajmujący powierzchnię 7,8 ha, a także Planty </w:t>
      </w:r>
      <w:proofErr w:type="spellStart"/>
      <w:r w:rsidRPr="00FD52C9">
        <w:rPr>
          <w:sz w:val="24"/>
          <w:szCs w:val="24"/>
        </w:rPr>
        <w:t>Mistrzejowickie</w:t>
      </w:r>
      <w:proofErr w:type="spellEnd"/>
      <w:r w:rsidRPr="00FD52C9">
        <w:rPr>
          <w:sz w:val="24"/>
          <w:szCs w:val="24"/>
        </w:rPr>
        <w:t xml:space="preserve"> o powierzchni 10,71 ha, rozciągające się przez osiedla</w:t>
      </w:r>
      <w:r w:rsidR="001D7EC5">
        <w:rPr>
          <w:sz w:val="24"/>
          <w:szCs w:val="24"/>
        </w:rPr>
        <w:t>:</w:t>
      </w:r>
      <w:r w:rsidRPr="00FD52C9">
        <w:rPr>
          <w:sz w:val="24"/>
          <w:szCs w:val="24"/>
        </w:rPr>
        <w:t xml:space="preserve"> Bohaterów Września i Złotego Wieku, do  parku wokół Fortu Batowice, zajmującego powierzchnię 6,38 ha.</w:t>
      </w:r>
    </w:p>
    <w:p w14:paraId="70E099AA" w14:textId="3FAB1057" w:rsidR="001D7EC5" w:rsidRDefault="004D355F" w:rsidP="00EB41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F4CCC" w:rsidRPr="00FD52C9">
        <w:rPr>
          <w:sz w:val="24"/>
          <w:szCs w:val="24"/>
        </w:rPr>
        <w:t xml:space="preserve">dnosząc się do uwarunkowań przyrodniczych występujących na rozpatrywanym terenie nadmieniam, że zgodnie z </w:t>
      </w:r>
      <w:r w:rsidR="00FF4CCC" w:rsidRPr="003E4C8F">
        <w:rPr>
          <w:sz w:val="24"/>
          <w:szCs w:val="24"/>
        </w:rPr>
        <w:t>„Mapą roślinności rzeczywistej”</w:t>
      </w:r>
      <w:r w:rsidR="001D7EC5" w:rsidRPr="003E4C8F">
        <w:rPr>
          <w:sz w:val="24"/>
          <w:szCs w:val="24"/>
        </w:rPr>
        <w:t>,</w:t>
      </w:r>
      <w:r w:rsidR="00FF4CCC" w:rsidRPr="00FD52C9">
        <w:rPr>
          <w:sz w:val="24"/>
          <w:szCs w:val="24"/>
        </w:rPr>
        <w:t xml:space="preserve"> opracowaną w ramach projektu Monit </w:t>
      </w:r>
      <w:proofErr w:type="spellStart"/>
      <w:r w:rsidR="00FF4CCC" w:rsidRPr="00FD52C9">
        <w:rPr>
          <w:sz w:val="24"/>
          <w:szCs w:val="24"/>
        </w:rPr>
        <w:t>Air</w:t>
      </w:r>
      <w:proofErr w:type="spellEnd"/>
      <w:r w:rsidR="00FF4CCC" w:rsidRPr="00FD52C9">
        <w:rPr>
          <w:sz w:val="24"/>
          <w:szCs w:val="24"/>
        </w:rPr>
        <w:t xml:space="preserve"> </w:t>
      </w:r>
      <w:r w:rsidR="00FF4CCC" w:rsidRPr="003E4C8F">
        <w:rPr>
          <w:sz w:val="24"/>
          <w:szCs w:val="24"/>
        </w:rPr>
        <w:t>„Atlas pokrycia terenu i przewietrzania miasta”,</w:t>
      </w:r>
      <w:r w:rsidR="00FF4CCC" w:rsidRPr="00FD52C9">
        <w:rPr>
          <w:sz w:val="24"/>
          <w:szCs w:val="24"/>
        </w:rPr>
        <w:t xml:space="preserve"> </w:t>
      </w:r>
      <w:proofErr w:type="spellStart"/>
      <w:r w:rsidR="00FF4CCC" w:rsidRPr="00FD52C9">
        <w:rPr>
          <w:sz w:val="24"/>
          <w:szCs w:val="24"/>
        </w:rPr>
        <w:t>MonitAir</w:t>
      </w:r>
      <w:proofErr w:type="spellEnd"/>
      <w:r w:rsidR="00FF4CCC" w:rsidRPr="00FD52C9">
        <w:rPr>
          <w:sz w:val="24"/>
          <w:szCs w:val="24"/>
        </w:rPr>
        <w:t xml:space="preserve">, K. Bajorek-Zydroń, P. Wężyk (red.), 2016, </w:t>
      </w:r>
      <w:r w:rsidR="00FF4CCC" w:rsidRPr="001D7EC5">
        <w:rPr>
          <w:sz w:val="24"/>
          <w:szCs w:val="24"/>
        </w:rPr>
        <w:t>działki nr 1/277, 1/281 obr</w:t>
      </w:r>
      <w:r w:rsidR="001D7EC5">
        <w:rPr>
          <w:sz w:val="24"/>
          <w:szCs w:val="24"/>
        </w:rPr>
        <w:t>ęb</w:t>
      </w:r>
      <w:r w:rsidR="00FF4CCC" w:rsidRPr="001D7EC5">
        <w:rPr>
          <w:sz w:val="24"/>
          <w:szCs w:val="24"/>
        </w:rPr>
        <w:t xml:space="preserve"> 5 Nowa Huta posiadają przeciętne walory przyrodnicze.</w:t>
      </w:r>
      <w:r w:rsidR="00EB4137">
        <w:rPr>
          <w:sz w:val="24"/>
          <w:szCs w:val="24"/>
        </w:rPr>
        <w:t xml:space="preserve"> </w:t>
      </w:r>
      <w:r w:rsidR="00FF4CCC" w:rsidRPr="00FD52C9">
        <w:rPr>
          <w:sz w:val="24"/>
          <w:szCs w:val="24"/>
        </w:rPr>
        <w:t xml:space="preserve">Przedmiotowe działki </w:t>
      </w:r>
      <w:r w:rsidR="00FF4CCC" w:rsidRPr="004D355F">
        <w:rPr>
          <w:sz w:val="24"/>
          <w:szCs w:val="24"/>
        </w:rPr>
        <w:t xml:space="preserve">nie zostały także wskazane do </w:t>
      </w:r>
      <w:r w:rsidR="001D7EC5" w:rsidRPr="003E4C8F">
        <w:rPr>
          <w:sz w:val="24"/>
          <w:szCs w:val="24"/>
        </w:rPr>
        <w:t>„</w:t>
      </w:r>
      <w:r w:rsidR="00FF4CCC" w:rsidRPr="003E4C8F">
        <w:rPr>
          <w:sz w:val="24"/>
          <w:szCs w:val="24"/>
        </w:rPr>
        <w:t>Powiatowego programu zwiększenia lesistości Miasta Krakowa na lata 2018-2040</w:t>
      </w:r>
      <w:r w:rsidR="001D7EC5" w:rsidRPr="003E4C8F">
        <w:rPr>
          <w:sz w:val="24"/>
          <w:szCs w:val="24"/>
        </w:rPr>
        <w:t>”,</w:t>
      </w:r>
      <w:r w:rsidR="00FF4CCC" w:rsidRPr="001D7EC5">
        <w:rPr>
          <w:i/>
          <w:sz w:val="24"/>
          <w:szCs w:val="24"/>
        </w:rPr>
        <w:t xml:space="preserve"> </w:t>
      </w:r>
      <w:r w:rsidR="00FF4CCC" w:rsidRPr="004D355F">
        <w:rPr>
          <w:sz w:val="24"/>
          <w:szCs w:val="24"/>
        </w:rPr>
        <w:t xml:space="preserve">zatwierdzonego </w:t>
      </w:r>
      <w:r w:rsidR="001D7EC5">
        <w:rPr>
          <w:sz w:val="24"/>
          <w:szCs w:val="24"/>
        </w:rPr>
        <w:t>u</w:t>
      </w:r>
      <w:r w:rsidR="00FF4CCC" w:rsidRPr="004D355F">
        <w:rPr>
          <w:sz w:val="24"/>
          <w:szCs w:val="24"/>
        </w:rPr>
        <w:t>chwałą nr</w:t>
      </w:r>
      <w:r>
        <w:rPr>
          <w:sz w:val="24"/>
          <w:szCs w:val="24"/>
        </w:rPr>
        <w:t> </w:t>
      </w:r>
      <w:r w:rsidR="00FF4CCC" w:rsidRPr="00FD52C9">
        <w:rPr>
          <w:sz w:val="24"/>
          <w:szCs w:val="24"/>
        </w:rPr>
        <w:t>XXX/793/19 Rady Miasta Krakowa z dnia 5 grudnia 2019 r</w:t>
      </w:r>
      <w:r w:rsidR="00A73B5D">
        <w:rPr>
          <w:sz w:val="24"/>
          <w:szCs w:val="24"/>
        </w:rPr>
        <w:t>.</w:t>
      </w:r>
      <w:r w:rsidR="00FF4CCC" w:rsidRPr="00FD52C9">
        <w:rPr>
          <w:sz w:val="24"/>
          <w:szCs w:val="24"/>
        </w:rPr>
        <w:t xml:space="preserve"> jako tereny przeznaczone do zalesienia. </w:t>
      </w:r>
    </w:p>
    <w:p w14:paraId="2BD96A3A" w14:textId="209EA2BD" w:rsidR="00F4538D" w:rsidRDefault="000E5452" w:rsidP="001D7EC5">
      <w:pPr>
        <w:ind w:firstLine="708"/>
        <w:jc w:val="both"/>
        <w:rPr>
          <w:sz w:val="24"/>
          <w:szCs w:val="24"/>
        </w:rPr>
      </w:pPr>
      <w:r w:rsidRPr="004D355F">
        <w:rPr>
          <w:sz w:val="24"/>
          <w:szCs w:val="24"/>
        </w:rPr>
        <w:t>N</w:t>
      </w:r>
      <w:r w:rsidR="00FF4CCC" w:rsidRPr="004D355F">
        <w:rPr>
          <w:sz w:val="24"/>
          <w:szCs w:val="24"/>
        </w:rPr>
        <w:t>ieruchomości położone przy ul. Zjazdu Gnieźnieńskiego zgodnie z ustaleniami miejscowego planu zagospodarowania przestrzennego</w:t>
      </w:r>
      <w:r w:rsidR="001D7EC5">
        <w:rPr>
          <w:sz w:val="24"/>
          <w:szCs w:val="24"/>
        </w:rPr>
        <w:t>,</w:t>
      </w:r>
      <w:r w:rsidR="00FF4CCC" w:rsidRPr="004D355F">
        <w:rPr>
          <w:sz w:val="24"/>
          <w:szCs w:val="24"/>
        </w:rPr>
        <w:t xml:space="preserve"> który jest aktem prawa miejscowego, sporządzanym na podstawie obowiązującego </w:t>
      </w:r>
      <w:r w:rsidR="00FF4CCC" w:rsidRPr="003E4C8F">
        <w:rPr>
          <w:i/>
          <w:sz w:val="24"/>
          <w:szCs w:val="24"/>
        </w:rPr>
        <w:t>Studium</w:t>
      </w:r>
      <w:r w:rsidR="00FF4CCC" w:rsidRPr="004D355F">
        <w:rPr>
          <w:sz w:val="24"/>
          <w:szCs w:val="24"/>
        </w:rPr>
        <w:t>, określającym politykę miasta w</w:t>
      </w:r>
      <w:r w:rsidR="00A73B5D">
        <w:rPr>
          <w:sz w:val="24"/>
          <w:szCs w:val="24"/>
        </w:rPr>
        <w:t> </w:t>
      </w:r>
      <w:r w:rsidR="00FF4CCC" w:rsidRPr="004D355F">
        <w:rPr>
          <w:sz w:val="24"/>
          <w:szCs w:val="24"/>
        </w:rPr>
        <w:t>zakresie zagospodarowania terenu</w:t>
      </w:r>
      <w:r w:rsidR="001D7EC5">
        <w:rPr>
          <w:sz w:val="24"/>
          <w:szCs w:val="24"/>
        </w:rPr>
        <w:t>,</w:t>
      </w:r>
      <w:r w:rsidR="00A73B5D">
        <w:rPr>
          <w:sz w:val="24"/>
          <w:szCs w:val="24"/>
        </w:rPr>
        <w:t xml:space="preserve"> </w:t>
      </w:r>
      <w:r w:rsidR="00FF4CCC" w:rsidRPr="004D355F">
        <w:rPr>
          <w:sz w:val="24"/>
          <w:szCs w:val="24"/>
        </w:rPr>
        <w:t>znajdują się w terenach zabudowy mieszkaniowej jednorodzinnej, nie są cenne przyrodniczo</w:t>
      </w:r>
      <w:r w:rsidR="001D7EC5">
        <w:rPr>
          <w:sz w:val="24"/>
          <w:szCs w:val="24"/>
        </w:rPr>
        <w:t>,</w:t>
      </w:r>
      <w:r w:rsidR="00FF4CCC" w:rsidRPr="004D355F">
        <w:rPr>
          <w:sz w:val="24"/>
          <w:szCs w:val="24"/>
        </w:rPr>
        <w:t xml:space="preserve"> a ich sprzedaż nie wpłynie na zabudowanie wejścia do Parku</w:t>
      </w:r>
      <w:r w:rsidR="00A73B5D">
        <w:rPr>
          <w:sz w:val="24"/>
          <w:szCs w:val="24"/>
        </w:rPr>
        <w:t>.</w:t>
      </w:r>
    </w:p>
    <w:p w14:paraId="00D5EAEE" w14:textId="7D206B33" w:rsidR="00EB4137" w:rsidRPr="004D355F" w:rsidRDefault="00EB4137" w:rsidP="001D7EC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Mając na uwadze powyższe, negatywnie opiniuję projekt rezolucji wg druku 1406-R.</w:t>
      </w:r>
    </w:p>
    <w:sectPr w:rsidR="00EB4137" w:rsidRPr="004D355F" w:rsidSect="005511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11F5"/>
    <w:multiLevelType w:val="hybridMultilevel"/>
    <w:tmpl w:val="1AE8B25A"/>
    <w:lvl w:ilvl="0" w:tplc="1C0C4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87E"/>
    <w:multiLevelType w:val="hybridMultilevel"/>
    <w:tmpl w:val="BB74DEE8"/>
    <w:lvl w:ilvl="0" w:tplc="0F0A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257F1"/>
    <w:multiLevelType w:val="hybridMultilevel"/>
    <w:tmpl w:val="1D44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D45DF"/>
    <w:multiLevelType w:val="hybridMultilevel"/>
    <w:tmpl w:val="88FCC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E4E53"/>
    <w:multiLevelType w:val="hybridMultilevel"/>
    <w:tmpl w:val="1EF28A48"/>
    <w:lvl w:ilvl="0" w:tplc="1ABAB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C46"/>
    <w:multiLevelType w:val="hybridMultilevel"/>
    <w:tmpl w:val="1F38E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87579"/>
    <w:multiLevelType w:val="hybridMultilevel"/>
    <w:tmpl w:val="E272B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797"/>
    <w:multiLevelType w:val="hybridMultilevel"/>
    <w:tmpl w:val="0C00A578"/>
    <w:lvl w:ilvl="0" w:tplc="04150011">
      <w:start w:val="1"/>
      <w:numFmt w:val="decimal"/>
      <w:lvlText w:val="%1)"/>
      <w:lvlJc w:val="left"/>
      <w:pPr>
        <w:ind w:left="803" w:hanging="360"/>
      </w:p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8" w15:restartNumberingAfterBreak="0">
    <w:nsid w:val="67D650A1"/>
    <w:multiLevelType w:val="hybridMultilevel"/>
    <w:tmpl w:val="1E9E0898"/>
    <w:lvl w:ilvl="0" w:tplc="C14E41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0A"/>
    <w:rsid w:val="00013049"/>
    <w:rsid w:val="00030E2A"/>
    <w:rsid w:val="00054B9B"/>
    <w:rsid w:val="00082357"/>
    <w:rsid w:val="000C73C2"/>
    <w:rsid w:val="000D41EC"/>
    <w:rsid w:val="000E5452"/>
    <w:rsid w:val="000E603A"/>
    <w:rsid w:val="00116CCB"/>
    <w:rsid w:val="00182CCA"/>
    <w:rsid w:val="001B4EBD"/>
    <w:rsid w:val="001C15B8"/>
    <w:rsid w:val="001D7EC5"/>
    <w:rsid w:val="00201EE4"/>
    <w:rsid w:val="00222A67"/>
    <w:rsid w:val="002272E5"/>
    <w:rsid w:val="00264D15"/>
    <w:rsid w:val="002667D4"/>
    <w:rsid w:val="00275EFF"/>
    <w:rsid w:val="002D7328"/>
    <w:rsid w:val="002E1D1C"/>
    <w:rsid w:val="002F054C"/>
    <w:rsid w:val="00300924"/>
    <w:rsid w:val="00364580"/>
    <w:rsid w:val="003B792D"/>
    <w:rsid w:val="003C7BF9"/>
    <w:rsid w:val="003E4C8F"/>
    <w:rsid w:val="00471803"/>
    <w:rsid w:val="004B4A85"/>
    <w:rsid w:val="004D355F"/>
    <w:rsid w:val="005059B6"/>
    <w:rsid w:val="005511A8"/>
    <w:rsid w:val="00554551"/>
    <w:rsid w:val="0055748D"/>
    <w:rsid w:val="0056119D"/>
    <w:rsid w:val="005F52BD"/>
    <w:rsid w:val="00617770"/>
    <w:rsid w:val="00671A68"/>
    <w:rsid w:val="0069626E"/>
    <w:rsid w:val="006A76D4"/>
    <w:rsid w:val="006B2975"/>
    <w:rsid w:val="006D6472"/>
    <w:rsid w:val="007207F3"/>
    <w:rsid w:val="00724E49"/>
    <w:rsid w:val="00746C33"/>
    <w:rsid w:val="00765B15"/>
    <w:rsid w:val="007B73CB"/>
    <w:rsid w:val="007C6471"/>
    <w:rsid w:val="00863D11"/>
    <w:rsid w:val="0087503F"/>
    <w:rsid w:val="008B4237"/>
    <w:rsid w:val="008E1D89"/>
    <w:rsid w:val="008F61DD"/>
    <w:rsid w:val="00906617"/>
    <w:rsid w:val="00932924"/>
    <w:rsid w:val="009776E8"/>
    <w:rsid w:val="00983B56"/>
    <w:rsid w:val="0099307E"/>
    <w:rsid w:val="00993A61"/>
    <w:rsid w:val="009949A6"/>
    <w:rsid w:val="009E3840"/>
    <w:rsid w:val="009E6E67"/>
    <w:rsid w:val="00A152BD"/>
    <w:rsid w:val="00A54B9F"/>
    <w:rsid w:val="00A55430"/>
    <w:rsid w:val="00A700AA"/>
    <w:rsid w:val="00A73B5D"/>
    <w:rsid w:val="00AB20B6"/>
    <w:rsid w:val="00B10F17"/>
    <w:rsid w:val="00B8794D"/>
    <w:rsid w:val="00BC4E3D"/>
    <w:rsid w:val="00C27083"/>
    <w:rsid w:val="00C450C0"/>
    <w:rsid w:val="00C5444B"/>
    <w:rsid w:val="00C81A7F"/>
    <w:rsid w:val="00C826CF"/>
    <w:rsid w:val="00C96CDC"/>
    <w:rsid w:val="00CC329C"/>
    <w:rsid w:val="00CC57DF"/>
    <w:rsid w:val="00CD04B9"/>
    <w:rsid w:val="00CD39F1"/>
    <w:rsid w:val="00D05BEE"/>
    <w:rsid w:val="00D3126D"/>
    <w:rsid w:val="00D6124D"/>
    <w:rsid w:val="00D644E7"/>
    <w:rsid w:val="00DA240A"/>
    <w:rsid w:val="00DA7DBA"/>
    <w:rsid w:val="00DC74E2"/>
    <w:rsid w:val="00DF3EDA"/>
    <w:rsid w:val="00EA52C0"/>
    <w:rsid w:val="00EB4137"/>
    <w:rsid w:val="00EB413A"/>
    <w:rsid w:val="00EE0BF1"/>
    <w:rsid w:val="00EE7C53"/>
    <w:rsid w:val="00F02D9B"/>
    <w:rsid w:val="00F11616"/>
    <w:rsid w:val="00F2192B"/>
    <w:rsid w:val="00F21F30"/>
    <w:rsid w:val="00F40E41"/>
    <w:rsid w:val="00F41306"/>
    <w:rsid w:val="00F4538D"/>
    <w:rsid w:val="00F53AF9"/>
    <w:rsid w:val="00F677CD"/>
    <w:rsid w:val="00F95586"/>
    <w:rsid w:val="00FD52C9"/>
    <w:rsid w:val="00FD6D51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1E99"/>
  <w15:chartTrackingRefBased/>
  <w15:docId w15:val="{30A45827-27AC-436C-B11E-3F09C967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DA240A"/>
    <w:pPr>
      <w:spacing w:before="240"/>
      <w:jc w:val="center"/>
    </w:pPr>
    <w:rPr>
      <w:sz w:val="24"/>
    </w:rPr>
  </w:style>
  <w:style w:type="paragraph" w:customStyle="1" w:styleId="Default">
    <w:name w:val="Default"/>
    <w:rsid w:val="00DA24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uchway">
    <w:name w:val="główka uchwały"/>
    <w:basedOn w:val="Normalny"/>
    <w:next w:val="Normalny"/>
    <w:rsid w:val="00DA240A"/>
    <w:pPr>
      <w:suppressAutoHyphens/>
      <w:spacing w:after="480" w:line="360" w:lineRule="auto"/>
      <w:jc w:val="center"/>
    </w:pPr>
    <w:rPr>
      <w:rFonts w:eastAsia="Arial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DA240A"/>
    <w:pPr>
      <w:widowControl w:val="0"/>
      <w:ind w:left="720"/>
      <w:contextualSpacing/>
      <w:jc w:val="both"/>
    </w:pPr>
    <w:rPr>
      <w:rFonts w:ascii="Lato" w:eastAsiaTheme="minorHAnsi" w:hAnsi="Lato" w:cstheme="minorBidi"/>
      <w:color w:val="000000" w:themeColor="text1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7D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3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3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3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FF4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krakow.pl/?dok_id=92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1A00-E801-4BCC-B60E-39EFB5F5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Czarnota Beata</dc:creator>
  <cp:keywords/>
  <dc:description/>
  <cp:lastModifiedBy>Chronowska-Panek Renata</cp:lastModifiedBy>
  <cp:revision>13</cp:revision>
  <cp:lastPrinted>2020-09-11T11:50:00Z</cp:lastPrinted>
  <dcterms:created xsi:type="dcterms:W3CDTF">2020-09-10T07:20:00Z</dcterms:created>
  <dcterms:modified xsi:type="dcterms:W3CDTF">2020-09-14T11:05:00Z</dcterms:modified>
</cp:coreProperties>
</file>