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 w:rsidP="000E277B">
      <w:pPr>
        <w:pStyle w:val="Tekstpodstawowy"/>
        <w:spacing w:before="69"/>
        <w:ind w:left="107" w:firstLine="460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107247A6" w14:textId="77777777" w:rsidR="00F549A9" w:rsidRDefault="001963BC" w:rsidP="000E277B">
      <w:pPr>
        <w:pStyle w:val="Tekstpodstawowy"/>
        <w:spacing w:before="34"/>
        <w:ind w:left="107" w:firstLine="460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0B3376E9" w14:textId="77777777" w:rsidR="00F549A9" w:rsidRDefault="00F549A9">
      <w:pPr>
        <w:pStyle w:val="Tekstpodstawowy"/>
        <w:spacing w:before="3"/>
        <w:rPr>
          <w:sz w:val="17"/>
        </w:rPr>
      </w:pP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650A0B28" w:rsidR="00F549A9" w:rsidRDefault="001963BC" w:rsidP="000E277B">
      <w:pPr>
        <w:pStyle w:val="Tekstpodstawowy"/>
        <w:spacing w:before="91"/>
        <w:ind w:left="1832" w:right="224" w:hanging="1265"/>
      </w:pPr>
      <w:r>
        <w:t>Na podstawie art. 35 ust. 1 ustawy z dnia 21 sierpnia 1997 r. o gospodarce nieruchomościami (</w:t>
      </w:r>
      <w:proofErr w:type="spellStart"/>
      <w:r>
        <w:t>t.j</w:t>
      </w:r>
      <w:proofErr w:type="spellEnd"/>
      <w:r>
        <w:t>.</w:t>
      </w:r>
      <w:r w:rsidR="00E512C5">
        <w:t xml:space="preserve"> </w:t>
      </w:r>
      <w:r w:rsidR="00E512C5" w:rsidRPr="00E512C5">
        <w:t>Dz.U. z 202</w:t>
      </w:r>
      <w:r w:rsidR="000E277B">
        <w:t>3</w:t>
      </w:r>
      <w:r w:rsidR="00E512C5" w:rsidRPr="00E512C5">
        <w:t xml:space="preserve"> r. poz. </w:t>
      </w:r>
      <w:r w:rsidR="000E277B">
        <w:t>344</w:t>
      </w:r>
      <w:r w:rsidR="00E512C5" w:rsidRPr="00E512C5">
        <w:t xml:space="preserve"> z </w:t>
      </w:r>
      <w:proofErr w:type="spellStart"/>
      <w:r w:rsidR="00E512C5" w:rsidRPr="00E512C5">
        <w:t>późn</w:t>
      </w:r>
      <w:proofErr w:type="spellEnd"/>
      <w:r w:rsidR="00E512C5" w:rsidRPr="00E512C5">
        <w:t xml:space="preserve">. </w:t>
      </w:r>
      <w:proofErr w:type="spellStart"/>
      <w:r w:rsidR="00E512C5" w:rsidRPr="00E512C5">
        <w:t>zm</w:t>
      </w:r>
      <w:proofErr w:type="spellEnd"/>
      <w:r>
        <w:t>) Zarząd Dróg Miasta Krakowa podaje do 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 w:rsidR="00E512C5" w:rsidRPr="008D3ADC">
        <w:rPr>
          <w:spacing w:val="-1"/>
        </w:rPr>
        <w:t xml:space="preserve">Skarbu Państwa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  <w:r w:rsidR="00E512C5">
        <w:t xml:space="preserve"> 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991"/>
        <w:gridCol w:w="1312"/>
        <w:gridCol w:w="1134"/>
        <w:gridCol w:w="2258"/>
        <w:gridCol w:w="1427"/>
        <w:gridCol w:w="1276"/>
        <w:gridCol w:w="1276"/>
        <w:gridCol w:w="4355"/>
      </w:tblGrid>
      <w:tr w:rsidR="00F549A9" w14:paraId="20BF170E" w14:textId="77777777" w:rsidTr="003E4B60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3294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  <w:vMerge w:val="restart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258" w:type="dxa"/>
            <w:vMerge w:val="restart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427" w:type="dxa"/>
            <w:vMerge w:val="restart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0F6785BE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</w:t>
            </w:r>
          </w:p>
        </w:tc>
        <w:tc>
          <w:tcPr>
            <w:tcW w:w="1276" w:type="dxa"/>
            <w:vMerge w:val="restart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276" w:type="dxa"/>
            <w:vMerge w:val="restart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355" w:type="dxa"/>
            <w:vMerge w:val="restart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3E4B60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1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312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3E4B60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8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7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55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74DE1" w14:paraId="294CE4D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30E851F5" w14:textId="32413757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vAlign w:val="center"/>
          </w:tcPr>
          <w:p w14:paraId="5B9CF407" w14:textId="7B64129D" w:rsidR="00574DE1" w:rsidRDefault="00560D25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991" w:type="dxa"/>
            <w:vAlign w:val="center"/>
          </w:tcPr>
          <w:p w14:paraId="2F4A8A15" w14:textId="0C6F5F94" w:rsidR="00574DE1" w:rsidRDefault="00560D25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574DE1">
              <w:rPr>
                <w:sz w:val="16"/>
              </w:rPr>
              <w:t>-</w:t>
            </w:r>
            <w:r>
              <w:rPr>
                <w:sz w:val="16"/>
              </w:rPr>
              <w:t>51</w:t>
            </w:r>
          </w:p>
        </w:tc>
        <w:tc>
          <w:tcPr>
            <w:tcW w:w="1312" w:type="dxa"/>
            <w:vAlign w:val="center"/>
          </w:tcPr>
          <w:p w14:paraId="59A023CA" w14:textId="6BB859BA" w:rsidR="00574DE1" w:rsidRDefault="00560D25" w:rsidP="00574DE1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KR1P/00193800/2</w:t>
            </w:r>
          </w:p>
        </w:tc>
        <w:tc>
          <w:tcPr>
            <w:tcW w:w="1134" w:type="dxa"/>
            <w:vAlign w:val="center"/>
          </w:tcPr>
          <w:p w14:paraId="6F89E641" w14:textId="5B0FEBC5" w:rsidR="00574DE1" w:rsidRDefault="00574DE1" w:rsidP="00574D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0D25">
              <w:rPr>
                <w:sz w:val="16"/>
              </w:rPr>
              <w:t>8,3,93</w:t>
            </w:r>
            <w:r w:rsidRPr="00E512C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8533EB5" w14:textId="3D395442" w:rsidR="00574DE1" w:rsidRDefault="00574DE1" w:rsidP="00574DE1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9629E0">
              <w:rPr>
                <w:sz w:val="16"/>
              </w:rPr>
              <w:t xml:space="preserve">Nieruchomość położona </w:t>
            </w:r>
            <w:r w:rsidR="00560D25">
              <w:rPr>
                <w:sz w:val="16"/>
              </w:rPr>
              <w:t xml:space="preserve">poza pasem </w:t>
            </w:r>
            <w:r w:rsidRPr="009629E0">
              <w:rPr>
                <w:sz w:val="16"/>
              </w:rPr>
              <w:t xml:space="preserve"> drogowym dróg publicznych </w:t>
            </w:r>
            <w:r>
              <w:rPr>
                <w:sz w:val="16"/>
              </w:rPr>
              <w:t xml:space="preserve">ul. </w:t>
            </w:r>
            <w:r w:rsidR="00560D25">
              <w:rPr>
                <w:sz w:val="16"/>
              </w:rPr>
              <w:t>Kamieńskiego</w:t>
            </w:r>
            <w:r>
              <w:rPr>
                <w:sz w:val="16"/>
              </w:rPr>
              <w:t xml:space="preserve"> </w:t>
            </w:r>
            <w:r w:rsidRPr="009629E0">
              <w:rPr>
                <w:sz w:val="16"/>
              </w:rPr>
              <w:t>w Krakowie</w:t>
            </w:r>
          </w:p>
        </w:tc>
        <w:tc>
          <w:tcPr>
            <w:tcW w:w="1427" w:type="dxa"/>
            <w:vAlign w:val="center"/>
          </w:tcPr>
          <w:p w14:paraId="4C99593B" w14:textId="645B56E5" w:rsidR="00574DE1" w:rsidRDefault="00574DE1" w:rsidP="00574DE1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Miejsca postojowe </w:t>
            </w:r>
          </w:p>
        </w:tc>
        <w:tc>
          <w:tcPr>
            <w:tcW w:w="1276" w:type="dxa"/>
            <w:vAlign w:val="center"/>
          </w:tcPr>
          <w:p w14:paraId="3200FE1B" w14:textId="22ABF97A" w:rsidR="00574DE1" w:rsidRDefault="00574DE1" w:rsidP="00574DE1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Pr="009629E0">
              <w:rPr>
                <w:sz w:val="16"/>
              </w:rPr>
              <w:t>.</w:t>
            </w:r>
            <w:r>
              <w:rPr>
                <w:sz w:val="16"/>
              </w:rPr>
              <w:t>0</w:t>
            </w:r>
            <w:r w:rsidR="00560D25">
              <w:rPr>
                <w:sz w:val="16"/>
              </w:rPr>
              <w:t>4</w:t>
            </w:r>
            <w:r w:rsidRPr="009629E0">
              <w:rPr>
                <w:sz w:val="16"/>
              </w:rPr>
              <w:t>.202</w:t>
            </w:r>
            <w:r w:rsidR="00560D25">
              <w:rPr>
                <w:sz w:val="16"/>
              </w:rPr>
              <w:t>6</w:t>
            </w:r>
            <w:r w:rsidRPr="009629E0">
              <w:rPr>
                <w:sz w:val="16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14:paraId="6B212B32" w14:textId="2E2A88F6" w:rsidR="00574DE1" w:rsidRDefault="00560D25" w:rsidP="00574DE1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623,52</w:t>
            </w:r>
            <w:r w:rsidR="00574DE1" w:rsidRPr="00E77386">
              <w:rPr>
                <w:sz w:val="16"/>
              </w:rPr>
              <w:t xml:space="preserve">  zł </w:t>
            </w:r>
            <w:r w:rsidR="00574DE1">
              <w:rPr>
                <w:sz w:val="16"/>
              </w:rPr>
              <w:t xml:space="preserve">netto </w:t>
            </w:r>
            <w:r>
              <w:rPr>
                <w:sz w:val="16"/>
              </w:rPr>
              <w:t>miesięcznie</w:t>
            </w:r>
          </w:p>
        </w:tc>
        <w:tc>
          <w:tcPr>
            <w:tcW w:w="4355" w:type="dxa"/>
            <w:vAlign w:val="center"/>
          </w:tcPr>
          <w:p w14:paraId="728311C0" w14:textId="3D644D93" w:rsidR="00574DE1" w:rsidRDefault="00574DE1" w:rsidP="00574DE1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862B2E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621141" w14:paraId="225CE88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5194F23" w14:textId="615256B2" w:rsidR="00621141" w:rsidRDefault="00621141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14:paraId="16FDD30D" w14:textId="7BDB3B26" w:rsidR="00621141" w:rsidRPr="00E512C5" w:rsidRDefault="00ED7E0D" w:rsidP="001F1112">
            <w:pPr>
              <w:pStyle w:val="TableParagraph"/>
              <w:jc w:val="center"/>
              <w:rPr>
                <w:sz w:val="16"/>
              </w:rPr>
            </w:pPr>
            <w:r w:rsidRPr="00ED7E0D">
              <w:rPr>
                <w:sz w:val="16"/>
              </w:rPr>
              <w:t>80/29</w:t>
            </w:r>
          </w:p>
        </w:tc>
        <w:tc>
          <w:tcPr>
            <w:tcW w:w="991" w:type="dxa"/>
            <w:vAlign w:val="center"/>
          </w:tcPr>
          <w:p w14:paraId="22964B54" w14:textId="56BBD3D9" w:rsidR="00621141" w:rsidRDefault="00ED7E0D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P-31</w:t>
            </w:r>
          </w:p>
        </w:tc>
        <w:tc>
          <w:tcPr>
            <w:tcW w:w="1312" w:type="dxa"/>
            <w:vAlign w:val="center"/>
          </w:tcPr>
          <w:p w14:paraId="7AD4926E" w14:textId="6A452D17" w:rsidR="00621141" w:rsidRDefault="00ED7E0D" w:rsidP="001F1112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14:paraId="480279A6" w14:textId="0BB5306C" w:rsidR="00621141" w:rsidRPr="00E512C5" w:rsidRDefault="003A122F" w:rsidP="001F1112">
            <w:pPr>
              <w:pStyle w:val="TableParagraph"/>
              <w:jc w:val="center"/>
              <w:rPr>
                <w:sz w:val="16"/>
              </w:rPr>
            </w:pPr>
            <w:r w:rsidRPr="003A122F">
              <w:rPr>
                <w:sz w:val="16"/>
              </w:rPr>
              <w:t xml:space="preserve">6 </w:t>
            </w:r>
            <w:r>
              <w:rPr>
                <w:sz w:val="16"/>
              </w:rPr>
              <w:t>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2201C087" w14:textId="018F97A6" w:rsidR="00621141" w:rsidRPr="00304C4D" w:rsidRDefault="003A122F" w:rsidP="001F111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3A122F">
              <w:rPr>
                <w:sz w:val="16"/>
              </w:rPr>
              <w:t>Nieruchomość położona poza pasem drogowym dróg publicznych ul. Kobierzyńskiej w Krakowie</w:t>
            </w:r>
          </w:p>
        </w:tc>
        <w:tc>
          <w:tcPr>
            <w:tcW w:w="1427" w:type="dxa"/>
            <w:vAlign w:val="center"/>
          </w:tcPr>
          <w:p w14:paraId="3843D21C" w14:textId="4EDBDCEC" w:rsidR="00621141" w:rsidRDefault="003A122F" w:rsidP="001F1112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1CE05890" w14:textId="3BC50CFB" w:rsidR="00621141" w:rsidRPr="00E512C5" w:rsidRDefault="003A122F" w:rsidP="001F1112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30.09.2024 r.</w:t>
            </w:r>
          </w:p>
        </w:tc>
        <w:tc>
          <w:tcPr>
            <w:tcW w:w="1276" w:type="dxa"/>
            <w:vAlign w:val="center"/>
          </w:tcPr>
          <w:p w14:paraId="65B23E5D" w14:textId="763D1E16" w:rsidR="00621141" w:rsidRPr="00E512C5" w:rsidRDefault="003A122F" w:rsidP="001F1112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3A122F">
              <w:rPr>
                <w:sz w:val="16"/>
              </w:rPr>
              <w:t>584,21 zł</w:t>
            </w:r>
            <w:r>
              <w:rPr>
                <w:sz w:val="16"/>
              </w:rPr>
              <w:t xml:space="preserve"> netto za cały okres</w:t>
            </w:r>
          </w:p>
        </w:tc>
        <w:tc>
          <w:tcPr>
            <w:tcW w:w="4355" w:type="dxa"/>
            <w:vAlign w:val="center"/>
          </w:tcPr>
          <w:p w14:paraId="020F5C84" w14:textId="0B8D91AD" w:rsidR="00621141" w:rsidRPr="00862B2E" w:rsidRDefault="003A122F" w:rsidP="001F11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3A122F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4D5ABC" w14:paraId="40F39189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2819D6A5" w14:textId="5B23089D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vAlign w:val="center"/>
          </w:tcPr>
          <w:p w14:paraId="024C2FB1" w14:textId="2FEDEBEB" w:rsidR="004D5ABC" w:rsidRPr="00621141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3FCE522C" w14:textId="3B1BADF9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693336A7" w14:textId="10F2510A" w:rsidR="004D5ABC" w:rsidRDefault="004D5ABC" w:rsidP="004D5ABC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C49F40" w14:textId="479DEF4E" w:rsidR="004D5ABC" w:rsidRDefault="004D5ABC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4E1E3A62" w14:textId="1149646A" w:rsidR="004D5ABC" w:rsidRPr="00304C4D" w:rsidRDefault="004D5ABC" w:rsidP="004D5ABC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78B29D3C" w14:textId="45600FC2" w:rsidR="004D5ABC" w:rsidRDefault="004D5ABC" w:rsidP="004D5ABC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7470C9E" w14:textId="75652C43" w:rsidR="004D5ABC" w:rsidRPr="00621141" w:rsidRDefault="004D5ABC" w:rsidP="004D5ABC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BBBF31E" w14:textId="5C7E53E4" w:rsidR="004D5ABC" w:rsidRPr="00621141" w:rsidRDefault="004D5ABC" w:rsidP="004D5ABC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746AD17D" w14:textId="268F24AA" w:rsidR="004D5ABC" w:rsidRPr="00862B2E" w:rsidRDefault="004D5ABC" w:rsidP="004D5ABC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  <w:tr w:rsidR="000E277B" w14:paraId="18DA0ADF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CC42BC7" w14:textId="7FDFD218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  <w:vAlign w:val="center"/>
          </w:tcPr>
          <w:p w14:paraId="3CD06309" w14:textId="434ECAD3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1741FEC" w14:textId="11033682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7EF9576E" w14:textId="00A69087" w:rsidR="000E277B" w:rsidRDefault="000E277B" w:rsidP="004D5ABC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9C07BA" w14:textId="01F3CA5A" w:rsidR="000E277B" w:rsidRDefault="000E277B" w:rsidP="004D5AB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8" w:type="dxa"/>
            <w:vAlign w:val="center"/>
          </w:tcPr>
          <w:p w14:paraId="02E152A6" w14:textId="542747A1" w:rsidR="000E277B" w:rsidRPr="00304C4D" w:rsidRDefault="000E277B" w:rsidP="004D5ABC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</w:p>
        </w:tc>
        <w:tc>
          <w:tcPr>
            <w:tcW w:w="1427" w:type="dxa"/>
            <w:vAlign w:val="center"/>
          </w:tcPr>
          <w:p w14:paraId="192C693F" w14:textId="2072189F" w:rsidR="000E277B" w:rsidRDefault="000E277B" w:rsidP="004D5ABC">
            <w:pPr>
              <w:pStyle w:val="TableParagraph"/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CE5F8B" w14:textId="7B08ECD1" w:rsidR="000E277B" w:rsidRDefault="000E277B" w:rsidP="004D5ABC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334372E" w14:textId="3C0731A9" w:rsidR="000E277B" w:rsidRDefault="000E277B" w:rsidP="004D5ABC">
            <w:pPr>
              <w:pStyle w:val="TableParagraph"/>
              <w:spacing w:line="183" w:lineRule="exact"/>
              <w:jc w:val="center"/>
              <w:rPr>
                <w:sz w:val="16"/>
              </w:rPr>
            </w:pPr>
          </w:p>
        </w:tc>
        <w:tc>
          <w:tcPr>
            <w:tcW w:w="4355" w:type="dxa"/>
            <w:vAlign w:val="center"/>
          </w:tcPr>
          <w:p w14:paraId="2535B7D4" w14:textId="558074A1" w:rsidR="000E277B" w:rsidRPr="00862B2E" w:rsidRDefault="000E277B" w:rsidP="004D5ABC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</w:p>
        </w:tc>
      </w:tr>
    </w:tbl>
    <w:p w14:paraId="5DC3B060" w14:textId="77777777" w:rsidR="00F549A9" w:rsidRDefault="00F549A9">
      <w:pPr>
        <w:pStyle w:val="Tekstpodstawowy"/>
      </w:pPr>
    </w:p>
    <w:p w14:paraId="49609B55" w14:textId="77777777" w:rsidR="00E512C5" w:rsidRDefault="00E512C5">
      <w:pPr>
        <w:pStyle w:val="Tekstpodstawowy"/>
      </w:pPr>
    </w:p>
    <w:p w14:paraId="3752400C" w14:textId="77777777" w:rsidR="00F549A9" w:rsidRDefault="00F549A9">
      <w:pPr>
        <w:pStyle w:val="Tekstpodstawowy"/>
        <w:spacing w:before="1"/>
        <w:rPr>
          <w:sz w:val="18"/>
        </w:rPr>
      </w:pPr>
    </w:p>
    <w:p w14:paraId="696FD8C9" w14:textId="77777777" w:rsidR="00F549A9" w:rsidRDefault="001963BC">
      <w:pPr>
        <w:pStyle w:val="Tekstpodstawowy"/>
        <w:ind w:left="107"/>
      </w:pPr>
      <w:r>
        <w:rPr>
          <w:u w:val="single"/>
        </w:rPr>
        <w:t>Uwagi:</w:t>
      </w:r>
    </w:p>
    <w:p w14:paraId="02DC7B5A" w14:textId="77777777" w:rsidR="00F549A9" w:rsidRDefault="00F549A9">
      <w:pPr>
        <w:pStyle w:val="Tekstpodstawowy"/>
        <w:spacing w:before="4"/>
        <w:rPr>
          <w:sz w:val="17"/>
        </w:rPr>
      </w:pP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 xml:space="preserve">W przypadku ustalenia innych stawek czynszu dzierżawnego przez </w:t>
      </w:r>
      <w:r w:rsidRPr="008D3ADC">
        <w:rPr>
          <w:sz w:val="20"/>
        </w:rPr>
        <w:t>organ Gminy Miejskiej Kraków</w:t>
      </w:r>
      <w:r>
        <w:rPr>
          <w:sz w:val="20"/>
        </w:rPr>
        <w:t>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lJe14OEAAAANAQAADwAAAAAAAAAAAAAAAAAvBAAAZHJzL2Rvd25yZXYueG1sUEsFBgAAAAAEAAQA&#10;8wAAAD0F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9665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35AE6"/>
    <w:rsid w:val="000547A2"/>
    <w:rsid w:val="000D6964"/>
    <w:rsid w:val="000E277B"/>
    <w:rsid w:val="001963BC"/>
    <w:rsid w:val="001F1112"/>
    <w:rsid w:val="00237CC5"/>
    <w:rsid w:val="00293867"/>
    <w:rsid w:val="002E1ECB"/>
    <w:rsid w:val="00304C4D"/>
    <w:rsid w:val="003A122F"/>
    <w:rsid w:val="003E38ED"/>
    <w:rsid w:val="003E4B60"/>
    <w:rsid w:val="00403A4C"/>
    <w:rsid w:val="00416B68"/>
    <w:rsid w:val="004247A2"/>
    <w:rsid w:val="004362B7"/>
    <w:rsid w:val="00484256"/>
    <w:rsid w:val="004B7062"/>
    <w:rsid w:val="004D5ABC"/>
    <w:rsid w:val="005276D0"/>
    <w:rsid w:val="00554F54"/>
    <w:rsid w:val="00560D25"/>
    <w:rsid w:val="00574DE1"/>
    <w:rsid w:val="005A5757"/>
    <w:rsid w:val="005C649C"/>
    <w:rsid w:val="005D5965"/>
    <w:rsid w:val="005E6AD1"/>
    <w:rsid w:val="00621141"/>
    <w:rsid w:val="00633811"/>
    <w:rsid w:val="00660568"/>
    <w:rsid w:val="00665D56"/>
    <w:rsid w:val="00695BE3"/>
    <w:rsid w:val="00771637"/>
    <w:rsid w:val="008051E5"/>
    <w:rsid w:val="00831BEF"/>
    <w:rsid w:val="00862B2E"/>
    <w:rsid w:val="00870CD5"/>
    <w:rsid w:val="008D3ADC"/>
    <w:rsid w:val="009352B9"/>
    <w:rsid w:val="00961D1A"/>
    <w:rsid w:val="00A15C2F"/>
    <w:rsid w:val="00AF56DC"/>
    <w:rsid w:val="00B32E85"/>
    <w:rsid w:val="00C80125"/>
    <w:rsid w:val="00D2283D"/>
    <w:rsid w:val="00D575ED"/>
    <w:rsid w:val="00DB09DB"/>
    <w:rsid w:val="00DF4D46"/>
    <w:rsid w:val="00E512C5"/>
    <w:rsid w:val="00E7684E"/>
    <w:rsid w:val="00E77386"/>
    <w:rsid w:val="00ED5CAD"/>
    <w:rsid w:val="00ED7E0D"/>
    <w:rsid w:val="00F35925"/>
    <w:rsid w:val="00F377EC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Paulina Nowak</cp:lastModifiedBy>
  <cp:revision>4</cp:revision>
  <dcterms:created xsi:type="dcterms:W3CDTF">2023-10-11T05:44:00Z</dcterms:created>
  <dcterms:modified xsi:type="dcterms:W3CDTF">2023-10-11T09:21:00Z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