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786C9D">
        <w:rPr>
          <w:b/>
          <w:color w:val="000000"/>
          <w:sz w:val="24"/>
          <w:szCs w:val="24"/>
        </w:rPr>
        <w:t>Aktywizacja zawodowa osób z niepełnosprawnościami</w:t>
      </w:r>
      <w:bookmarkStart w:id="0" w:name="_GoBack"/>
      <w:bookmarkEnd w:id="0"/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5"/>
    <w:rsid w:val="001311D1"/>
    <w:rsid w:val="003C37DD"/>
    <w:rsid w:val="00786C9D"/>
    <w:rsid w:val="00A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9F9A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2021-02-11T12:34:00Z</dcterms:created>
  <dcterms:modified xsi:type="dcterms:W3CDTF">2022-08-17T09:20:00Z</dcterms:modified>
</cp:coreProperties>
</file>